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分布式认知与协同写作教案</w:t>
      </w:r>
    </w:p>
    <w:p>
      <w:pPr>
        <w:jc w:val="center"/>
      </w:pPr>
      <w:r>
        <w:rPr>
          <w:b/>
          <w:sz w:val="26"/>
        </w:rPr>
        <w:t>思考在何处发生  分布式认知与AI协同写作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课程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人工智能辅助语言学习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P3</w:t>
            </w:r>
          </w:p>
        </w:tc>
      </w:tr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课时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90分钟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对象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本科生</w:t>
            </w:r>
          </w:p>
        </w:tc>
      </w:tr>
    </w:tbl>
    <w:p/>
    <w:p>
      <w:pPr>
        <w:pStyle w:val="Heading1"/>
      </w:pPr>
      <w:r>
        <w:t>一 课程定位</w:t>
      </w:r>
    </w:p>
    <w:p>
      <w:r>
        <w:t>第7次课，90分钟。理论体验、经典概念、研究案例和两轮AI协同写作构成一个完整专题；学生独立完成P3，不与人机共创项目共享成果。</w:t>
      </w:r>
    </w:p>
    <w:p>
      <w:pPr>
        <w:pStyle w:val="Heading1"/>
      </w:pPr>
      <w:r>
        <w:t>二 学习目标</w:t>
      </w:r>
    </w:p>
    <w:p>
      <w:pPr>
        <w:pStyle w:val="ListBullet"/>
      </w:pPr>
      <w:r>
        <w:t>解释认知怎样跨人、外部表征和时间分布。</w:t>
      </w:r>
    </w:p>
    <w:p>
      <w:pPr>
        <w:pStyle w:val="ListBullet"/>
      </w:pPr>
      <w:r>
        <w:t>绘制AI协同写作的信息流并标明信息变化。</w:t>
      </w:r>
    </w:p>
    <w:p>
      <w:pPr>
        <w:pStyle w:val="ListBullet"/>
      </w:pPr>
      <w:r>
        <w:t>在协同写作中保留立场、核验、取舍和最终表达。</w:t>
      </w:r>
    </w:p>
    <w:p>
      <w:pPr>
        <w:pStyle w:val="ListBullet"/>
      </w:pPr>
      <w:r>
        <w:t>根据试用修改一项协作规则，并通过无AI迁移区分系统表现与个人学习。</w:t>
      </w:r>
    </w:p>
    <w:p>
      <w:pPr>
        <w:pStyle w:val="Heading1"/>
      </w:pPr>
      <w:r>
        <w:t>三 教学重点与难点</w:t>
      </w:r>
    </w:p>
    <w:p>
      <w:r>
        <w:rPr>
          <w:b/>
        </w:rPr>
        <w:t>教学重点：</w:t>
      </w:r>
      <w:r>
        <w:t>学生要看见写作认知系统中的信息流，并把AI建议从“生成结果”转成需要核验和决策的外部表征。</w:t>
      </w:r>
    </w:p>
    <w:p>
      <w:r>
        <w:rPr>
          <w:b/>
        </w:rPr>
        <w:t>教学难点：</w:t>
      </w:r>
      <w:r>
        <w:t>系统完成文本不等于每位学习者形成能力。教师应分别收集共同文本、人的决策证据和无AI迁移表现。</w:t>
      </w:r>
    </w:p>
    <w:p>
      <w:pPr>
        <w:pStyle w:val="Heading1"/>
      </w:pPr>
      <w:r>
        <w:t>四 课前准备</w:t>
      </w:r>
    </w:p>
    <w:p>
      <w:r>
        <w:t>学生带一篇200至300词英语初稿和写作要求。教师准备两轮信息整合卡、认知系统图、Huang与Wang案例卡、协同写作提示示范、版本记录表和P3交付清单。</w:t>
      </w:r>
    </w:p>
    <w:p>
      <w:pPr>
        <w:pStyle w:val="Heading1"/>
      </w:pPr>
      <w:r>
        <w:t>五 教学过程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</w:trP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82A4C"/>
          </w:tcPr>
          <w:p>
            <w:pPr>
              <w:jc w:val="center"/>
            </w:pPr>
            <w:r>
              <w:rPr>
                <w:b/>
                <w:color w:val="FFFFFF"/>
              </w:rPr>
              <w:t>时间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82A4C"/>
          </w:tcPr>
          <w:p>
            <w:pPr>
              <w:jc w:val="center"/>
            </w:pPr>
            <w:r>
              <w:rPr>
                <w:b/>
                <w:color w:val="FFFFFF"/>
              </w:rPr>
              <w:t>环节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82A4C"/>
          </w:tcPr>
          <w:p>
            <w:pPr>
              <w:jc w:val="center"/>
            </w:pPr>
            <w:r>
              <w:rPr>
                <w:b/>
                <w:color w:val="FFFFFF"/>
              </w:rPr>
              <w:t>教师活动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82A4C"/>
          </w:tcPr>
          <w:p>
            <w:pPr>
              <w:jc w:val="center"/>
            </w:pPr>
            <w:r>
              <w:rPr>
                <w:b/>
                <w:color w:val="FFFFFF"/>
              </w:rPr>
              <w:t>学生活动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82A4C"/>
          </w:tcPr>
          <w:p>
            <w:pPr>
              <w:jc w:val="center"/>
            </w:pPr>
            <w:r>
              <w:rPr>
                <w:b/>
                <w:color w:val="FFFFFF"/>
              </w:rPr>
              <w:t>学习证据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0–8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系统体验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组织“只靠口头记忆”和“使用共享表征”的平行情境任务。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记录信息如何被保存、遗漏和重新组合。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能提出认知发生位置的问题。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8–18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概念建立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解释跨人、外部表征与跨时间分布，界定认知系统。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用自己的话解释三种分布。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不把理论简化为分工。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18–28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系统图示范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逐层呈现初稿、AI、来源、同伴、决定和版本。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在箭头上写提取、比较、质疑、核验、拒绝等动词。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形成可读的信息流。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28–38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研究案例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引导阅读Huang与Wang案例卡，区分质性发现与因果结论。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找出学习者提问、评估和使用AI建议的过程。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能从研究中提取设计规则。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38–43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微讨论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追问“AI建议正确时，什么仍必须由作者决定”。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形成一条人的判断规则。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决定与作者意图或任务要求相连。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43–58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第一轮写作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示范只处理一个真实问题，巡视核验与取舍。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请AI诊断或提出反例，决定采纳、部分采纳或拒绝。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保存关键交互和修改前后片段。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58–63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理论检查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要求在系统图标出记忆、核验和决定。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诊断是否从AI建议直接跳到采用。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发现一个协作流程断点。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63–75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修改再试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指导只改变一项协作规则或信息流。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处理第二个问题并比较人的参与和文本变化。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形成一次流程迭代。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75–84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无AI迁移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发放平行情境，关闭AI工具。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独立完成80至100词写作或改写。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获得个人迁移证据。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84–90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Take away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展示P3三模块，回到“系统怎样帮我、我学会什么”。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用两句话区分系统表现与个人学习。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理解P3独立项目边界。</w:t>
            </w:r>
          </w:p>
        </w:tc>
      </w:tr>
    </w:tbl>
    <w:p>
      <w:pPr>
        <w:pStyle w:val="Heading1"/>
      </w:pPr>
      <w:r>
        <w:t>六 教学组织与备选方案</w:t>
      </w:r>
    </w:p>
    <w:p>
      <w:r>
        <w:rPr>
          <w:b/>
        </w:rPr>
        <w:t>组织方式：</w:t>
      </w:r>
      <w:r>
        <w:t>体验式概念建立、动态图示、案例证据阅读、两轮协同写作、版本比较和无AI迁移。</w:t>
      </w:r>
    </w:p>
    <w:p>
      <w:r>
        <w:rPr>
          <w:b/>
        </w:rPr>
        <w:t>离线或未完成备选：</w:t>
      </w:r>
      <w:r>
        <w:t>无法连接AI时使用教师预制的三组不同质量建议，学生仍需核验、取舍、修订并记录信息流。</w:t>
      </w:r>
    </w:p>
    <w:p>
      <w:pPr>
        <w:pStyle w:val="Heading1"/>
      </w:pPr>
      <w:r>
        <w:t>七 项目评价</w:t>
      </w:r>
    </w:p>
    <w:p>
      <w:r>
        <w:t>P3占总评10%，独立于P4。目标与理论20%，写作成果与协同设计40%，证据解释25%，流程迭代15%；个人解释及无AI迁移占内部20%。</w:t>
      </w:r>
    </w:p>
    <w:p>
      <w:pPr>
        <w:pStyle w:val="Heading1"/>
      </w:pPr>
      <w:r>
        <w:t>八 课后任务</w:t>
      </w:r>
    </w:p>
    <w:p>
      <w:r>
        <w:t>学生依据课堂试用整理P3项目交付清单，补齐最终成果、关键证据和迭代说明。过程材料留存备查，不要求把所有草稿整理成附件。</w:t>
      </w:r>
    </w:p>
    <w:p>
      <w:pPr>
        <w:pStyle w:val="Heading1"/>
      </w:pPr>
      <w:r>
        <w:t>九 参考资料</w:t>
      </w:r>
    </w:p>
    <w:p>
      <w:pPr>
        <w:pStyle w:val="ListNumber"/>
      </w:pPr>
      <w:r>
        <w:t>Hollan, Hutchins, &amp; Kirsh (2000), ACM Transactions on Computer-Human Interaction, 7(2), 174–196.</w:t>
      </w:r>
    </w:p>
    <w:p>
      <w:pPr>
        <w:pStyle w:val="ListNumber"/>
      </w:pPr>
      <w:r>
        <w:t>Hutchins (1995), Cognition in the Wild.</w:t>
      </w:r>
    </w:p>
    <w:p>
      <w:pPr>
        <w:pStyle w:val="ListNumber"/>
      </w:pPr>
      <w:r>
        <w:t>Atkinson (2010), Applied Linguistics, 31(5), 599–622.</w:t>
      </w:r>
    </w:p>
    <w:p>
      <w:pPr>
        <w:pStyle w:val="ListNumber"/>
      </w:pPr>
      <w:r>
        <w:t>Huang &amp; Wang (2025), System, 133, 103775.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