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多模态项目工坊教案</w:t>
      </w:r>
    </w:p>
    <w:p>
      <w:pPr>
        <w:jc w:val="center"/>
      </w:pPr>
      <w:r>
        <w:rPr>
          <w:b/>
          <w:sz w:val="26"/>
        </w:rPr>
        <w:t>从看见到表达  多模态语言学习设计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课程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人工智能辅助语言学习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P2</w:t>
            </w:r>
          </w:p>
        </w:tc>
      </w:tr>
      <w:tr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课时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90分钟</w:t>
            </w:r>
          </w:p>
        </w:tc>
        <w:tc>
          <w:tcPr>
            <w:tcW w:type="dxa" w:w="113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9EEF4"/>
          </w:tcPr>
          <w:p>
            <w:r>
              <w:rPr>
                <w:b/>
              </w:rPr>
              <w:t>对象</w:t>
            </w:r>
          </w:p>
        </w:tc>
        <w:tc>
          <w:tcPr>
            <w:tcW w:type="dxa" w:w="345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本科生</w:t>
            </w:r>
          </w:p>
        </w:tc>
      </w:tr>
    </w:tbl>
    <w:p/>
    <w:p>
      <w:pPr>
        <w:pStyle w:val="Heading1"/>
      </w:pPr>
      <w:r>
        <w:t>一 课程定位</w:t>
      </w:r>
    </w:p>
    <w:p>
      <w:r>
        <w:t>第6次课，90分钟。学生体验、分析案例和制作工作流后，形成一个面向真实用户需要的多模态语言学习项目草案，并在课后完成作品与反思。</w:t>
      </w:r>
    </w:p>
    <w:p>
      <w:pPr>
        <w:pStyle w:val="Heading1"/>
      </w:pPr>
      <w:r>
        <w:t>二 学习目标</w:t>
      </w:r>
    </w:p>
    <w:p>
      <w:pPr>
        <w:pStyle w:val="ListBullet"/>
      </w:pPr>
      <w:r>
        <w:t>说明图像、声音、字幕或分段怎样服务特定语言目标。</w:t>
      </w:r>
    </w:p>
    <w:p>
      <w:pPr>
        <w:pStyle w:val="ListBullet"/>
      </w:pPr>
      <w:r>
        <w:t>运用连贯、信号和分段原则判断多模态材料。</w:t>
      </w:r>
    </w:p>
    <w:p>
      <w:pPr>
        <w:pStyle w:val="ListBullet"/>
      </w:pPr>
      <w:r>
        <w:t>了解使用LibTV、豆包、WorkBuddy或其他工具制作图片或短视频的基本工作流。</w:t>
      </w:r>
    </w:p>
    <w:p>
      <w:pPr>
        <w:pStyle w:val="ListBullet"/>
      </w:pPr>
      <w:r>
        <w:t>通过快速调研提出一项多模态语言学习产品，并规划试用和迭代。</w:t>
      </w:r>
    </w:p>
    <w:p>
      <w:pPr>
        <w:pStyle w:val="Heading1"/>
      </w:pPr>
      <w:r>
        <w:t>三 教学重点与难点</w:t>
      </w:r>
    </w:p>
    <w:p>
      <w:r>
        <w:rPr>
          <w:b/>
        </w:rPr>
        <w:t>教学重点：</w:t>
      </w:r>
      <w:r>
        <w:t>多模态设计从用户的语言问题和学习动作出发，图片或视频要支持理解、提取、表达或持续接触。</w:t>
      </w:r>
    </w:p>
    <w:p>
      <w:r>
        <w:rPr>
          <w:b/>
        </w:rPr>
        <w:t>教学难点：</w:t>
      </w:r>
      <w:r>
        <w:t>学生可能把作品精美、模态丰富或生成成本当成学习价值。教师要让他们说明删去一个元素会损失什么语言加工。</w:t>
      </w:r>
    </w:p>
    <w:p>
      <w:pPr>
        <w:pStyle w:val="Heading1"/>
      </w:pPr>
      <w:r>
        <w:t>四 课前准备</w:t>
      </w:r>
    </w:p>
    <w:p>
      <w:r>
        <w:t>教师准备小叶学姐教英语的代表漫画、聊天记录、信息过载版与聚焦版材料、工具演示视频或B站入口。学生带电脑，课前观察一个多模态语言学习产品。</w:t>
      </w:r>
    </w:p>
    <w:p>
      <w:pPr>
        <w:pStyle w:val="Heading1"/>
      </w:pPr>
      <w:r>
        <w:t>五 教学过程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rPr>
          <w:tblHeader w:val="true"/>
        </w:trP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75232"/>
          </w:tcPr>
          <w:p>
            <w:pPr>
              <w:jc w:val="center"/>
            </w:pPr>
            <w:r>
              <w:rPr>
                <w:b/>
                <w:color w:val="FFFFFF"/>
              </w:rPr>
              <w:t>时间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75232"/>
          </w:tcPr>
          <w:p>
            <w:pPr>
              <w:jc w:val="center"/>
            </w:pPr>
            <w:r>
              <w:rPr>
                <w:b/>
                <w:color w:val="FFFFFF"/>
              </w:rPr>
              <w:t>环节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75232"/>
          </w:tcPr>
          <w:p>
            <w:pPr>
              <w:jc w:val="center"/>
            </w:pPr>
            <w:r>
              <w:rPr>
                <w:b/>
                <w:color w:val="FFFFFF"/>
              </w:rPr>
              <w:t>教师活动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75232"/>
          </w:tcPr>
          <w:p>
            <w:pPr>
              <w:jc w:val="center"/>
            </w:pPr>
            <w:r>
              <w:rPr>
                <w:b/>
                <w:color w:val="FFFFFF"/>
              </w:rPr>
              <w:t>学生活动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B75232"/>
          </w:tcPr>
          <w:p>
            <w:pPr>
              <w:jc w:val="center"/>
            </w:pPr>
            <w:r>
              <w:rPr>
                <w:b/>
                <w:color w:val="FFFFFF"/>
              </w:rPr>
              <w:t>学习证据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0–8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先体验再判断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展示漫画或短视频后遮住画面，要求说出关键语言。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比较记住画面与提取语言的差异。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能指出真正被提取的目标表达。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8–18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理论回顾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讲解连贯、信号、分段和可理解输入。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把一个视觉元素对应到一项语言目标。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理论能转为材料选择。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18–28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材料编辑示范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对比信息过载版与聚焦版，示范删减、分段和遮图复述。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判断每次修改改变了什么加工。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能解释保留或删除的理由。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28–33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微头脑风暴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提出“只能保留一个视觉线索”。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个人选择后与同伴形成一条理由。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理由包含学习者和目标语言。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33–55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制作工作流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演示图片组和60至90秒短视频两条流程，展示小叶案例与工具入口。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记录从需求、分镜、生成、编辑到发布的关键步骤。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形成可复用的制作流程。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55–60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范例讨论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逐幅分析示例作品，追问删去某模态会改变什么。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识别目标元素、支架和纯装饰。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不以个人喜好替代机制判断。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60–85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课堂草案设计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巡视各组，提供用户、目标和可行性建议。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快速调研并完成用户问题、产品设想、核心模态、学习活动和试用方法。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r>
              <w:t>形成P2项目草案。</w:t>
            </w:r>
          </w:p>
        </w:tc>
      </w:tr>
      <w:tr>
        <w:tc>
          <w:tcPr>
            <w:tcW w:type="dxa" w:w="85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85–90</w:t>
            </w:r>
          </w:p>
        </w:tc>
        <w:tc>
          <w:tcPr>
            <w:tcW w:type="dxa" w:w="1304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Take away</w:t>
            </w:r>
          </w:p>
        </w:tc>
        <w:tc>
          <w:tcPr>
            <w:tcW w:type="dxa" w:w="289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请学生分享最重要的设计取舍并展示P2交付。</w:t>
            </w:r>
          </w:p>
        </w:tc>
        <w:tc>
          <w:tcPr>
            <w:tcW w:type="dxa" w:w="2721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说出今天带走的一条多模态原则。</w:t>
            </w:r>
          </w:p>
        </w:tc>
        <w:tc>
          <w:tcPr>
            <w:tcW w:type="dxa" w:w="1757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8"/>
          </w:tcPr>
          <w:p>
            <w:r>
              <w:t>能连接用户问题、模态选择与语言学习。</w:t>
            </w:r>
          </w:p>
        </w:tc>
      </w:tr>
    </w:tbl>
    <w:p>
      <w:pPr>
        <w:pStyle w:val="Heading1"/>
      </w:pPr>
      <w:r>
        <w:t>六 教学组织与备选方案</w:t>
      </w:r>
    </w:p>
    <w:p>
      <w:r>
        <w:rPr>
          <w:b/>
        </w:rPr>
        <w:t>组织方式：</w:t>
      </w:r>
      <w:r>
        <w:t>体验式诊断、前后对照、案例拆解、工具流程演示、快速市场调研和小组设计咨询。</w:t>
      </w:r>
    </w:p>
    <w:p>
      <w:r>
        <w:rPr>
          <w:b/>
        </w:rPr>
        <w:t>离线或未完成备选：</w:t>
      </w:r>
      <w:r>
        <w:t>生成工具或网络不可用时，学生使用教师提供的图片与视频素材完成分镜、语言活动和试用设计；本课不以当堂生成速度评分。</w:t>
      </w:r>
    </w:p>
    <w:p>
      <w:pPr>
        <w:pStyle w:val="Heading1"/>
      </w:pPr>
      <w:r>
        <w:t>七 项目评价</w:t>
      </w:r>
    </w:p>
    <w:p>
      <w:r>
        <w:t>P2占总评10%。目标与理论20%，核心成果40%，证据解释25%，迭代15%；不按图片数量、精美程度或工具成本评分。</w:t>
      </w:r>
    </w:p>
    <w:p>
      <w:pPr>
        <w:pStyle w:val="Heading1"/>
      </w:pPr>
      <w:r>
        <w:t>八 课后任务</w:t>
      </w:r>
    </w:p>
    <w:p>
      <w:r>
        <w:t>学生依据课堂试用整理P2项目交付清单，补齐最终成果、关键证据和迭代说明。过程材料留存备查，不要求把所有草稿整理成附件。</w:t>
      </w:r>
    </w:p>
    <w:p>
      <w:pPr>
        <w:pStyle w:val="Heading1"/>
      </w:pPr>
      <w:r>
        <w:t>九 参考资料</w:t>
      </w:r>
    </w:p>
    <w:p>
      <w:pPr>
        <w:pStyle w:val="ListNumber"/>
      </w:pPr>
      <w:r>
        <w:t>Liu et al. (2024), Computers &amp; Education, 211, 104977.</w:t>
      </w:r>
    </w:p>
    <w:p>
      <w:pPr>
        <w:pStyle w:val="ListNumber"/>
      </w:pPr>
      <w:r>
        <w:t>Jiang &amp; Lai (2025), TESOL Quarterly, 59(S1), S52–S85.</w:t>
      </w:r>
    </w:p>
    <w:p>
      <w:pPr>
        <w:pStyle w:val="ListNumber"/>
      </w:pPr>
      <w:r>
        <w:t>Montero Perez et al. (2013), System, 41(3), 720–739.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宋体" w:hAnsi="宋体" w:eastAsia="宋体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 w:eastAsia="黑体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 w:eastAsia="黑体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