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Hiragino Sans GB" w:hAnsi="Hiragino Sans GB" w:eastAsia="Hiragino Sans GB"/>
        </w:rPr>
        <w:t>对话与反馈项目工坊教案</w:t>
      </w:r>
    </w:p>
    <w:p>
      <w:pPr>
        <w:jc w:val="center"/>
      </w:pPr>
      <w:r>
        <w:rPr>
          <w:rFonts w:ascii="Hiragino Sans GB" w:hAnsi="Hiragino Sans GB" w:eastAsia="Hiragino Sans GB"/>
          <w:b/>
          <w:sz w:val="26"/>
        </w:rPr>
        <w:t>让对话与学习一起发生  AI反馈与意义协商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rFonts w:ascii="Hiragino Sans GB" w:hAnsi="Hiragino Sans GB" w:eastAsia="Hiragino Sans GB"/>
                <w:b/>
              </w:rPr>
              <w:t>课程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人工智能辅助语言学习</w:t>
            </w:r>
          </w:p>
        </w:tc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rFonts w:ascii="Hiragino Sans GB" w:hAnsi="Hiragino Sans GB" w:eastAsia="Hiragino Sans GB"/>
                <w:b/>
              </w:rPr>
              <w:t>项目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P1</w:t>
            </w:r>
          </w:p>
        </w:tc>
      </w:tr>
      <w:tr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rFonts w:ascii="Hiragino Sans GB" w:hAnsi="Hiragino Sans GB" w:eastAsia="Hiragino Sans GB"/>
                <w:b/>
              </w:rPr>
              <w:t>课时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90分钟</w:t>
            </w:r>
          </w:p>
        </w:tc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rFonts w:ascii="Hiragino Sans GB" w:hAnsi="Hiragino Sans GB" w:eastAsia="Hiragino Sans GB"/>
                <w:b/>
              </w:rPr>
              <w:t>对象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本科生</w:t>
            </w:r>
          </w:p>
        </w:tc>
      </w:tr>
    </w:tbl>
    <w:p/>
    <w:p>
      <w:pPr>
        <w:pStyle w:val="Heading1"/>
      </w:pPr>
      <w:r>
        <w:rPr>
          <w:rFonts w:ascii="Hiragino Sans GB" w:hAnsi="Hiragino Sans GB" w:eastAsia="Hiragino Sans GB"/>
        </w:rPr>
        <w:t>一 课程定位</w:t>
      </w:r>
    </w:p>
    <w:p>
      <w:r>
        <w:rPr>
          <w:rFonts w:ascii="Hiragino Sans GB" w:hAnsi="Hiragino Sans GB" w:eastAsia="Hiragino Sans GB"/>
        </w:rPr>
        <w:t>第4次课，90分钟。学生以小组为单位，把二语习得理论、interaction styles和提示词规则整合为一项可实施、可试用、可修改的AI口语学习活动。</w:t>
      </w:r>
    </w:p>
    <w:p>
      <w:pPr>
        <w:pStyle w:val="Heading1"/>
      </w:pPr>
      <w:r>
        <w:rPr>
          <w:rFonts w:ascii="Hiragino Sans GB" w:hAnsi="Hiragino Sans GB" w:eastAsia="Hiragino Sans GB"/>
        </w:rPr>
        <w:t>二 学习目标</w:t>
      </w:r>
    </w:p>
    <w:p>
      <w:pPr>
        <w:pStyle w:val="ListBullet"/>
      </w:pPr>
      <w:r>
        <w:rPr>
          <w:rFonts w:ascii="Hiragino Sans GB" w:hAnsi="Hiragino Sans GB" w:eastAsia="Hiragino Sans GB"/>
        </w:rPr>
        <w:t>区分流畅聊天与具有学习机会的互动。</w:t>
      </w:r>
    </w:p>
    <w:p>
      <w:pPr>
        <w:pStyle w:val="ListBullet"/>
      </w:pPr>
      <w:r>
        <w:rPr>
          <w:rFonts w:ascii="Hiragino Sans GB" w:hAnsi="Hiragino Sans GB" w:eastAsia="Hiragino Sans GB"/>
        </w:rPr>
        <w:t>根据口语目标选择interlocutor、narrator、entertainer或facilitator作为主要互动风格。</w:t>
      </w:r>
    </w:p>
    <w:p>
      <w:pPr>
        <w:pStyle w:val="ListBullet"/>
      </w:pPr>
      <w:r>
        <w:rPr>
          <w:rFonts w:ascii="Hiragino Sans GB" w:hAnsi="Hiragino Sans GB" w:eastAsia="Hiragino Sans GB"/>
        </w:rPr>
        <w:t>把输入、意义协商、输出、注意和反馈转成可执行动作；通过六步活动蓝图安排学习材料、提示词与试用形式。</w:t>
      </w:r>
    </w:p>
    <w:p>
      <w:pPr>
        <w:pStyle w:val="ListBullet"/>
      </w:pPr>
      <w:r>
        <w:rPr>
          <w:rFonts w:ascii="Hiragino Sans GB" w:hAnsi="Hiragino Sans GB" w:eastAsia="Hiragino Sans GB"/>
        </w:rPr>
        <w:t>依据一次5至10分钟试用分析AI与学习者行为，并提出下一轮修改。</w:t>
      </w:r>
    </w:p>
    <w:p>
      <w:pPr>
        <w:pStyle w:val="Heading1"/>
      </w:pPr>
      <w:r>
        <w:rPr>
          <w:rFonts w:ascii="Hiragino Sans GB" w:hAnsi="Hiragino Sans GB" w:eastAsia="Hiragino Sans GB"/>
        </w:rPr>
        <w:t>三 教学重点与难点</w:t>
      </w:r>
    </w:p>
    <w:p>
      <w:r>
        <w:rPr>
          <w:rFonts w:ascii="Hiragino Sans GB" w:hAnsi="Hiragino Sans GB" w:eastAsia="Hiragino Sans GB"/>
          <w:b/>
        </w:rPr>
        <w:t>教学重点：</w:t>
      </w:r>
      <w:r>
        <w:rPr>
          <w:rFonts w:ascii="Hiragino Sans GB" w:hAnsi="Hiragino Sans GB" w:eastAsia="Hiragino Sans GB"/>
        </w:rPr>
        <w:t>互动风格必须体现在内容控制、回合功能和学习者输出中；提示词只是落实活动设计的工具。</w:t>
      </w:r>
    </w:p>
    <w:p>
      <w:r>
        <w:rPr>
          <w:rFonts w:ascii="Hiragino Sans GB" w:hAnsi="Hiragino Sans GB" w:eastAsia="Hiragino Sans GB"/>
          <w:b/>
        </w:rPr>
        <w:t>教学难点：</w:t>
      </w:r>
      <w:r>
        <w:rPr>
          <w:rFonts w:ascii="Hiragino Sans GB" w:hAnsi="Hiragino Sans GB" w:eastAsia="Hiragino Sans GB"/>
        </w:rPr>
        <w:t>学生容易把风格写成人设标签，或把AI回复流畅当成学习发生。教师要持续追问学习者说了什么、注意了什么、反馈后是否再次表达。</w:t>
      </w:r>
    </w:p>
    <w:p>
      <w:pPr>
        <w:pStyle w:val="Heading1"/>
      </w:pPr>
      <w:r>
        <w:rPr>
          <w:rFonts w:ascii="Hiragino Sans GB" w:hAnsi="Hiragino Sans GB" w:eastAsia="Hiragino Sans GB"/>
        </w:rPr>
        <w:t>四 课前准备</w:t>
      </w:r>
    </w:p>
    <w:p>
      <w:r>
        <w:rPr>
          <w:rFonts w:ascii="Hiragino Sans GB" w:hAnsi="Hiragino Sans GB" w:eastAsia="Hiragino Sans GB"/>
        </w:rPr>
        <w:t>学生带第3次课的口语活动草案和一页任务信息。教师准备地铁换乘图、机器人服务员对话图、退货对话对照卡、过去事件的口头反馈片段、四风格活动材料卡、校园参访信息卡及P1交付清单。</w:t>
      </w:r>
    </w:p>
    <w:p>
      <w:pPr>
        <w:pStyle w:val="Heading1"/>
      </w:pPr>
      <w:r>
        <w:rPr>
          <w:rFonts w:ascii="Hiragino Sans GB" w:hAnsi="Hiragino Sans GB" w:eastAsia="Hiragino Sans GB"/>
        </w:rPr>
        <w:t>五 教学过程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rPr>
          <w:tblHeader w:val="true"/>
        </w:trP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0F6D68"/>
          </w:tcPr>
          <w:p>
            <w:pPr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</w:rPr>
              <w:t>时间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0F6D68"/>
          </w:tcPr>
          <w:p>
            <w:pPr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</w:rPr>
              <w:t>环节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0F6D68"/>
          </w:tcPr>
          <w:p>
            <w:pPr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</w:rPr>
              <w:t>教师活动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0F6D68"/>
          </w:tcPr>
          <w:p>
            <w:pPr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</w:rPr>
              <w:t>学生活动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0F6D68"/>
          </w:tcPr>
          <w:p>
            <w:pPr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</w:rPr>
              <w:t>学习证据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0–25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对话诊断与理论回顾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用两段AI回应导入；结合地铁图、过敏点餐图、退货对比和过去事件说明五个设计动作。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判断AI何时改述、何时给学生输出空位；指出口语中的停顿、重音和反馈线索。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能把理论主张对应到具体回合与可观察的学习者表现。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rPr>
                <w:rFonts w:ascii="Hiragino Sans GB" w:hAnsi="Hiragino Sans GB" w:eastAsia="Hiragino Sans GB"/>
              </w:rPr>
              <w:t>25–45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rPr>
                <w:rFonts w:ascii="Hiragino Sans GB" w:hAnsi="Hiragino Sans GB" w:eastAsia="Hiragino Sans GB"/>
              </w:rPr>
              <w:t>四风格活动画廊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rPr>
                <w:rFonts w:ascii="Hiragino Sans GB" w:hAnsi="Hiragino Sans GB" w:eastAsia="Hiragino Sans GB"/>
              </w:rPr>
              <w:t>呈现论文中的分类与四套口语活动材料；强调对话者的协商、叙述者的提示、娱乐者的角色互换。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rPr>
                <w:rFonts w:ascii="Hiragino Sans GB" w:hAnsi="Hiragino Sans GB" w:eastAsia="Hiragino Sans GB"/>
              </w:rPr>
              <w:t>比较AI与学生的材料、回合功能和独立出口，选出一种主风格。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rPr>
                <w:rFonts w:ascii="Hiragino Sans GB" w:hAnsi="Hiragino Sans GB" w:eastAsia="Hiragino Sans GB"/>
              </w:rPr>
              <w:t>能解释风格选择如何服务口语目标。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45–65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六步活动设计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引导小组确定目标、风格和理论动作；与AI共创材料；写提示词和反馈规则；选择聊天机器人或智能体形式。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按六步蓝图设计并完成15分钟小组冲刺，准备学习者材料与AI材料。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形成可直接试用的材料、提示词和出口任务。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rPr>
                <w:rFonts w:ascii="Hiragino Sans GB" w:hAnsi="Hiragino Sans GB" w:eastAsia="Hiragino Sans GB"/>
              </w:rPr>
              <w:t>65–83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rPr>
                <w:rFonts w:ascii="Hiragino Sans GB" w:hAnsi="Hiragino Sans GB" w:eastAsia="Hiragino Sans GB"/>
              </w:rPr>
              <w:t>试用与观察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rPr>
                <w:rFonts w:ascii="Hiragino Sans GB" w:hAnsi="Hiragino Sans GB" w:eastAsia="Hiragino Sans GB"/>
              </w:rPr>
              <w:t>提醒保存模型、日期和完整日志；示范CLARIFY、REPAIR、MODIFY/CUE与TRANSFER四种观察标记。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rPr>
                <w:rFonts w:ascii="Hiragino Sans GB" w:hAnsi="Hiragino Sans GB" w:eastAsia="Hiragino Sans GB"/>
              </w:rPr>
              <w:t>在选定的AI聊天机器人中试跑5至10分钟，标出决定性回合。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rPr>
                <w:rFonts w:ascii="Hiragino Sans GB" w:hAnsi="Hiragino Sans GB" w:eastAsia="Hiragino Sans GB"/>
              </w:rPr>
              <w:t>日志能显示AI行为、学习者回应及独立表达。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83–90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收束与交付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请学生用一句话说出设计原则；重申P1三项核心交付与项目清单。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完成退出条，明确后续需提交的设计、试用证据与修订建议。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Hiragino Sans GB" w:hAnsi="Hiragino Sans GB" w:eastAsia="Hiragino Sans GB"/>
              </w:rPr>
              <w:t>能用目标—风格—材料—规则—证据说明活动。</w:t>
            </w:r>
          </w:p>
        </w:tc>
      </w:tr>
    </w:tbl>
    <w:p>
      <w:pPr>
        <w:pStyle w:val="Heading1"/>
      </w:pPr>
      <w:r>
        <w:rPr>
          <w:rFonts w:ascii="Hiragino Sans GB" w:hAnsi="Hiragino Sans GB" w:eastAsia="Hiragino Sans GB"/>
        </w:rPr>
        <w:t>六 教学组织与备选方案</w:t>
      </w:r>
    </w:p>
    <w:p>
      <w:r>
        <w:rPr>
          <w:rFonts w:ascii="Hiragino Sans GB" w:hAnsi="Hiragino Sans GB" w:eastAsia="Hiragino Sans GB"/>
          <w:b/>
        </w:rPr>
        <w:t>组织方式：对话诊断、四个情境的理论示范、四种不同材料驱动的互动风格、六步活动蓝图、15分钟小组设计冲刺、短时试用和日志观察。</w:t>
      </w:r>
      <w:r>
        <w:rPr>
          <w:rFonts w:ascii="Hiragino Sans GB" w:hAnsi="Hiragino Sans GB" w:eastAsia="Hiragino Sans GB"/>
        </w:rPr>
      </w:r>
    </w:p>
    <w:p>
      <w:r>
        <w:rPr>
          <w:rFonts w:ascii="Hiragino Sans GB" w:hAnsi="Hiragino Sans GB" w:eastAsia="Hiragino Sans GB"/>
          <w:b/>
        </w:rPr>
        <w:t>离线或未完成备选：</w:t>
      </w:r>
      <w:r>
        <w:rPr>
          <w:rFonts w:ascii="Hiragino Sans GB" w:hAnsi="Hiragino Sans GB" w:eastAsia="Hiragino Sans GB"/>
        </w:rPr>
        <w:t>网络不可用时使用教师预制的离线对话分支卡；每组仍按相同目标和观察表完成设计与诊断。</w:t>
      </w:r>
    </w:p>
    <w:p>
      <w:pPr>
        <w:pStyle w:val="Heading1"/>
      </w:pPr>
      <w:r>
        <w:rPr>
          <w:rFonts w:ascii="Hiragino Sans GB" w:hAnsi="Hiragino Sans GB" w:eastAsia="Hiragino Sans GB"/>
        </w:rPr>
        <w:t>七 项目评价</w:t>
      </w:r>
    </w:p>
    <w:p>
      <w:r>
        <w:rPr>
          <w:rFonts w:ascii="Hiragino Sans GB" w:hAnsi="Hiragino Sans GB" w:eastAsia="Hiragino Sans GB"/>
        </w:rPr>
        <w:t>P1占总评10%。目标与理论20%，活动设计及核心成果40%，证据解释25%，迭代15%；小组作品80%，个人解释与贡献20%。</w:t>
      </w:r>
    </w:p>
    <w:p>
      <w:pPr>
        <w:pStyle w:val="Heading1"/>
      </w:pPr>
      <w:r>
        <w:rPr>
          <w:rFonts w:ascii="Hiragino Sans GB" w:hAnsi="Hiragino Sans GB" w:eastAsia="Hiragino Sans GB"/>
        </w:rPr>
        <w:t>八 课后任务</w:t>
      </w:r>
    </w:p>
    <w:p>
      <w:r>
        <w:rPr>
          <w:rFonts w:ascii="Hiragino Sans GB" w:hAnsi="Hiragino Sans GB" w:eastAsia="Hiragino Sans GB"/>
        </w:rPr>
        <w:t>学生依据课堂试用整理P1项目交付清单，补齐最终成果、关键证据和迭代说明。过程材料留存备查，不要求把所有草稿整理成附件。</w:t>
      </w:r>
    </w:p>
    <w:p>
      <w:pPr>
        <w:pStyle w:val="Heading1"/>
      </w:pPr>
      <w:r>
        <w:rPr>
          <w:rFonts w:ascii="Hiragino Sans GB" w:hAnsi="Hiragino Sans GB" w:eastAsia="Hiragino Sans GB"/>
        </w:rPr>
        <w:t>九 参考资料</w:t>
      </w:r>
    </w:p>
    <w:p>
      <w:pPr>
        <w:pStyle w:val="ListNumber"/>
      </w:pPr>
      <w:r>
        <w:rPr>
          <w:rFonts w:ascii="Hiragino Sans GB" w:hAnsi="Hiragino Sans GB" w:eastAsia="Hiragino Sans GB"/>
        </w:rPr>
        <w:t>Du &amp; Reynolds (2025), Acta Psychologica, 259, 105307.</w:t>
      </w:r>
    </w:p>
    <w:p>
      <w:pPr>
        <w:pStyle w:val="ListNumber"/>
      </w:pPr>
      <w:r>
        <w:rPr>
          <w:rFonts w:ascii="Hiragino Sans GB" w:hAnsi="Hiragino Sans GB" w:eastAsia="Hiragino Sans GB"/>
        </w:rPr>
        <w:t>Du &amp; Reynolds (2025), Computer Assisted Language Learning. https://doi.org/10.1080/09588221.2025.2552116</w:t>
      </w:r>
    </w:p>
    <w:p>
      <w:pPr>
        <w:pStyle w:val="ListNumber"/>
      </w:pPr>
      <w:r>
        <w:rPr>
          <w:rFonts w:ascii="Hiragino Sans GB" w:hAnsi="Hiragino Sans GB" w:eastAsia="Hiragino Sans GB"/>
        </w:rPr>
        <w:t>Long (1996); Swain &amp; Lapkin (1995); Schmidt (1990).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Hiragino Sans GB" w:hAnsi="Hiragino Sans GB" w:eastAsia="Hiragino Sans GB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iragino Sans GB" w:hAnsi="Hiragino Sans GB" w:eastAsia="Hiragino Sans GB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iragino Sans GB" w:hAnsi="Hiragino Sans GB" w:eastAsia="Hiragino Sans GB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Hiragino Sans GB" w:hAnsi="Hiragino Sans GB" w:eastAsia="Hiragino Sans GB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Hiragino Sans GB" w:hAnsi="Hiragino Sans GB" w:eastAsia="Hiragino Sans GB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Hiragino Sans GB" w:hAnsi="Hiragino Sans GB" w:eastAsia="Hiragino Sans GB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Hiragino Sans GB" w:hAnsi="Hiragino Sans GB" w:eastAsia="Hiragino Sans 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Hiragino Sans GB" w:hAnsi="Hiragino Sans GB" w:eastAsia="Hiragino Sans GB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Hiragino Sans GB" w:hAnsi="Hiragino Sans GB" w:eastAsia="Hiragino Sans GB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Hiragino Sans GB" w:hAnsi="Hiragino Sans GB" w:eastAsia="Hiragino Sans GB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Hiragino Sans GB" w:hAnsi="Hiragino Sans GB" w:eastAsia="Hiragino Sans GB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Hiragino Sans GB" w:hAnsi="Hiragino Sans GB" w:eastAsia="Hiragino Sans GB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Hiragino Sans GB" w:hAnsi="Hiragino Sans GB" w:eastAsia="Hiragino Sans GB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Hiragino Sans GB" w:hAnsi="Hiragino Sans GB" w:eastAsia="Hiragino Sans GB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Hiragino Sans GB" w:hAnsi="Hiragino Sans GB" w:eastAsia="Hiragino Sans GB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Hiragino Sans GB" w:hAnsi="Hiragino Sans GB" w:eastAsia="Hiragino Sans GB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Hiragino Sans GB" w:hAnsi="Hiragino Sans GB" w:eastAsia="Hiragino Sans GB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Hiragino Sans GB" w:hAnsi="Hiragino Sans GB" w:eastAsia="Hiragino Sans GB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Hiragino Sans GB" w:hAnsi="Hiragino Sans GB" w:eastAsia="Hiragino Sans GB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Hiragino Sans GB" w:hAnsi="Hiragino Sans GB" w:eastAsia="Hiragino Sans GB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Hiragino Sans GB" w:hAnsi="Hiragino Sans GB" w:eastAsia="Hiragino Sans GB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Hiragino Sans GB" w:hAnsi="Hiragino Sans GB" w:eastAsia="Hiragino Sans GB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Hiragino Sans GB" w:hAnsi="Hiragino Sans GB" w:eastAsia="Hiragino Sans GB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Hiragino Sans GB" w:hAnsi="Hiragino Sans GB" w:eastAsia="Hiragino Sans GB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Hiragino Sans GB" w:hAnsi="Hiragino Sans GB" w:eastAsia="Hiragino Sans GB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Hiragino Sans GB" w:hAnsi="Hiragino Sans GB" w:eastAsia="Hiragino Sans GB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Hiragino Sans GB" w:hAnsi="Hiragino Sans GB" w:eastAsia="Hiragino Sans GB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Hiragino Sans GB" w:hAnsi="Hiragino Sans GB" w:eastAsia="Hiragino Sans GB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Hiragino Sans GB" w:hAnsi="Hiragino Sans GB" w:eastAsia="Hiragino Sans GB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